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21B" w:rsidRDefault="00D3221B" w:rsidP="007A4BA5">
      <w:pPr>
        <w:jc w:val="center"/>
        <w:outlineLvl w:val="0"/>
        <w:rPr>
          <w:rFonts w:ascii="宋体" w:eastAsia="宋体"/>
          <w:b/>
          <w:sz w:val="36"/>
          <w:szCs w:val="36"/>
        </w:rPr>
      </w:pPr>
      <w:r>
        <w:rPr>
          <w:rFonts w:ascii="宋体" w:hAnsi="宋体" w:hint="eastAsia"/>
          <w:b/>
          <w:sz w:val="36"/>
          <w:szCs w:val="36"/>
        </w:rPr>
        <w:t>黄山市广播电视台部门</w:t>
      </w:r>
      <w:r>
        <w:rPr>
          <w:rFonts w:ascii="宋体" w:hAnsi="宋体"/>
          <w:b/>
          <w:sz w:val="36"/>
          <w:szCs w:val="36"/>
        </w:rPr>
        <w:t>2020</w:t>
      </w:r>
      <w:r>
        <w:rPr>
          <w:rFonts w:ascii="宋体" w:hAnsi="宋体" w:hint="eastAsia"/>
          <w:b/>
          <w:sz w:val="36"/>
          <w:szCs w:val="36"/>
        </w:rPr>
        <w:t>年度一般公共预算</w:t>
      </w:r>
    </w:p>
    <w:p w:rsidR="00D3221B" w:rsidRPr="007A4BA5" w:rsidRDefault="00D3221B" w:rsidP="007A4BA5">
      <w:pPr>
        <w:jc w:val="center"/>
        <w:outlineLvl w:val="0"/>
        <w:rPr>
          <w:rFonts w:ascii="宋体" w:eastAsia="宋体"/>
          <w:b/>
          <w:sz w:val="36"/>
          <w:szCs w:val="36"/>
        </w:rPr>
      </w:pPr>
      <w:r>
        <w:rPr>
          <w:rFonts w:ascii="宋体" w:hAnsi="宋体" w:hint="eastAsia"/>
          <w:b/>
          <w:sz w:val="36"/>
          <w:szCs w:val="36"/>
        </w:rPr>
        <w:t>财政拨款</w:t>
      </w:r>
      <w:r>
        <w:rPr>
          <w:rFonts w:ascii="宋体" w:eastAsia="宋体" w:hint="eastAsia"/>
          <w:b/>
          <w:sz w:val="36"/>
          <w:szCs w:val="36"/>
        </w:rPr>
        <w:t>“</w:t>
      </w:r>
      <w:r>
        <w:rPr>
          <w:rFonts w:ascii="宋体" w:hAnsi="宋体" w:hint="eastAsia"/>
          <w:b/>
          <w:sz w:val="36"/>
          <w:szCs w:val="36"/>
        </w:rPr>
        <w:t>三公”经费支出决算情况说明</w:t>
      </w:r>
    </w:p>
    <w:p w:rsidR="00D3221B" w:rsidRDefault="00D3221B">
      <w:pPr>
        <w:jc w:val="center"/>
        <w:rPr>
          <w:rFonts w:ascii="楷体_GB2312" w:eastAsia="楷体_GB2312"/>
          <w:szCs w:val="32"/>
        </w:rPr>
      </w:pPr>
    </w:p>
    <w:p w:rsidR="00D3221B" w:rsidRDefault="00D3221B">
      <w:pPr>
        <w:adjustRightInd w:val="0"/>
        <w:snapToGrid w:val="0"/>
        <w:spacing w:line="360" w:lineRule="auto"/>
        <w:jc w:val="center"/>
        <w:rPr>
          <w:rFonts w:ascii="宋体" w:eastAsia="宋体"/>
          <w:sz w:val="6"/>
          <w:szCs w:val="32"/>
        </w:rPr>
      </w:pPr>
    </w:p>
    <w:p w:rsidR="00D3221B" w:rsidRDefault="00D3221B">
      <w:pPr>
        <w:outlineLvl w:val="1"/>
        <w:rPr>
          <w:rFonts w:ascii="黑体" w:eastAsia="黑体" w:hAnsi="黑体"/>
          <w:szCs w:val="32"/>
        </w:rPr>
      </w:pPr>
      <w:r>
        <w:rPr>
          <w:rFonts w:ascii="黑体" w:eastAsia="黑体" w:hAnsi="黑体"/>
          <w:szCs w:val="32"/>
        </w:rPr>
        <w:t xml:space="preserve">    </w:t>
      </w:r>
      <w:r>
        <w:rPr>
          <w:rFonts w:ascii="黑体" w:eastAsia="黑体" w:hAnsi="黑体" w:hint="eastAsia"/>
          <w:szCs w:val="32"/>
        </w:rPr>
        <w:t>一、</w:t>
      </w:r>
      <w:r>
        <w:rPr>
          <w:rFonts w:ascii="黑体" w:eastAsia="黑体" w:hAnsi="黑体"/>
          <w:szCs w:val="32"/>
        </w:rPr>
        <w:t>2020</w:t>
      </w:r>
      <w:r>
        <w:rPr>
          <w:rFonts w:ascii="黑体" w:eastAsia="黑体" w:hAnsi="黑体" w:hint="eastAsia"/>
          <w:szCs w:val="32"/>
        </w:rPr>
        <w:t>年度一般公共预算财政拨款“三公”经费支出决算表</w:t>
      </w:r>
    </w:p>
    <w:p w:rsidR="00D3221B" w:rsidRDefault="00D3221B" w:rsidP="00FC05B9">
      <w:pPr>
        <w:ind w:firstLineChars="2298" w:firstLine="31680"/>
        <w:rPr>
          <w:rFonts w:ascii="黑体" w:eastAsia="黑体" w:hAnsi="黑体"/>
          <w:szCs w:val="32"/>
        </w:rPr>
      </w:pPr>
      <w:r>
        <w:rPr>
          <w:rFonts w:ascii="仿宋_GB2312" w:hAnsi="仿宋_GB2312" w:cs="仿宋_GB2312" w:hint="eastAsia"/>
          <w:szCs w:val="32"/>
        </w:rPr>
        <w:t>单位：万元</w:t>
      </w:r>
    </w:p>
    <w:tbl>
      <w:tblPr>
        <w:tblpPr w:leftFromText="180" w:rightFromText="180" w:vertAnchor="text" w:horzAnchor="margin" w:tblpY="454"/>
        <w:tblOverlap w:val="never"/>
        <w:tblW w:w="0" w:type="auto"/>
        <w:tblLayout w:type="fixed"/>
        <w:tblLook w:val="00A0"/>
      </w:tblPr>
      <w:tblGrid>
        <w:gridCol w:w="4379"/>
        <w:gridCol w:w="2157"/>
        <w:gridCol w:w="2220"/>
      </w:tblGrid>
      <w:tr w:rsidR="00D3221B">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D3221B" w:rsidRDefault="00D3221B">
            <w:pPr>
              <w:widowControl/>
              <w:jc w:val="center"/>
              <w:rPr>
                <w:rFonts w:ascii="宋体" w:eastAsia="宋体" w:cs="宋体"/>
                <w:b/>
                <w:bCs/>
                <w:kern w:val="0"/>
                <w:szCs w:val="21"/>
              </w:rPr>
            </w:pPr>
            <w:r>
              <w:rPr>
                <w:rFonts w:ascii="宋体" w:hAnsi="宋体" w:cs="宋体" w:hint="eastAsia"/>
                <w:b/>
                <w:bCs/>
                <w:kern w:val="0"/>
                <w:szCs w:val="21"/>
              </w:rPr>
              <w:t>项</w:t>
            </w:r>
            <w:r>
              <w:rPr>
                <w:rFonts w:ascii="宋体" w:hAnsi="宋体" w:cs="宋体"/>
                <w:b/>
                <w:bCs/>
                <w:kern w:val="0"/>
                <w:szCs w:val="21"/>
              </w:rPr>
              <w:t xml:space="preserve">  </w:t>
            </w:r>
            <w:r>
              <w:rPr>
                <w:rFonts w:ascii="宋体" w:hAnsi="宋体" w:cs="宋体" w:hint="eastAsia"/>
                <w:b/>
                <w:bCs/>
                <w:kern w:val="0"/>
                <w:szCs w:val="21"/>
              </w:rPr>
              <w:t>目</w:t>
            </w:r>
          </w:p>
        </w:tc>
        <w:tc>
          <w:tcPr>
            <w:tcW w:w="2157" w:type="dxa"/>
            <w:tcBorders>
              <w:top w:val="single" w:sz="4" w:space="0" w:color="auto"/>
              <w:left w:val="nil"/>
              <w:bottom w:val="single" w:sz="4" w:space="0" w:color="auto"/>
              <w:right w:val="single" w:sz="4" w:space="0" w:color="auto"/>
            </w:tcBorders>
            <w:vAlign w:val="center"/>
          </w:tcPr>
          <w:p w:rsidR="00D3221B" w:rsidRDefault="00D3221B">
            <w:pPr>
              <w:widowControl/>
              <w:jc w:val="center"/>
              <w:rPr>
                <w:rFonts w:ascii="宋体" w:eastAsia="宋体" w:cs="宋体"/>
                <w:b/>
                <w:bCs/>
                <w:kern w:val="0"/>
                <w:szCs w:val="21"/>
              </w:rPr>
            </w:pPr>
            <w:r>
              <w:rPr>
                <w:rFonts w:ascii="宋体" w:hAnsi="宋体" w:cs="宋体" w:hint="eastAsia"/>
                <w:b/>
                <w:bCs/>
                <w:kern w:val="0"/>
                <w:szCs w:val="21"/>
              </w:rPr>
              <w:t>预</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c>
          <w:tcPr>
            <w:tcW w:w="2220" w:type="dxa"/>
            <w:tcBorders>
              <w:top w:val="single" w:sz="4" w:space="0" w:color="auto"/>
              <w:left w:val="nil"/>
              <w:bottom w:val="single" w:sz="4" w:space="0" w:color="auto"/>
              <w:right w:val="single" w:sz="4" w:space="0" w:color="auto"/>
            </w:tcBorders>
            <w:vAlign w:val="center"/>
          </w:tcPr>
          <w:p w:rsidR="00D3221B" w:rsidRDefault="00D3221B">
            <w:pPr>
              <w:widowControl/>
              <w:jc w:val="center"/>
              <w:rPr>
                <w:rFonts w:ascii="宋体" w:eastAsia="宋体" w:cs="宋体"/>
                <w:b/>
                <w:bCs/>
                <w:kern w:val="0"/>
                <w:szCs w:val="21"/>
              </w:rPr>
            </w:pPr>
            <w:r>
              <w:rPr>
                <w:rFonts w:ascii="宋体" w:hAnsi="宋体" w:cs="宋体" w:hint="eastAsia"/>
                <w:b/>
                <w:bCs/>
                <w:kern w:val="0"/>
                <w:szCs w:val="21"/>
              </w:rPr>
              <w:t>决</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r>
      <w:tr w:rsidR="00D3221B">
        <w:trPr>
          <w:trHeight w:val="397"/>
        </w:trPr>
        <w:tc>
          <w:tcPr>
            <w:tcW w:w="4379" w:type="dxa"/>
            <w:tcBorders>
              <w:top w:val="nil"/>
              <w:left w:val="single" w:sz="4" w:space="0" w:color="auto"/>
              <w:bottom w:val="single" w:sz="4" w:space="0" w:color="auto"/>
              <w:right w:val="single" w:sz="4" w:space="0" w:color="auto"/>
            </w:tcBorders>
            <w:vAlign w:val="center"/>
          </w:tcPr>
          <w:p w:rsidR="00D3221B" w:rsidRDefault="00D3221B">
            <w:pPr>
              <w:widowControl/>
              <w:jc w:val="center"/>
              <w:rPr>
                <w:rFonts w:ascii="宋体" w:eastAsia="宋体" w:cs="宋体"/>
                <w:b/>
                <w:bCs/>
                <w:kern w:val="0"/>
                <w:szCs w:val="21"/>
              </w:rPr>
            </w:pPr>
            <w:r>
              <w:rPr>
                <w:rFonts w:ascii="宋体" w:hAnsi="宋体" w:cs="宋体" w:hint="eastAsia"/>
                <w:b/>
                <w:bCs/>
                <w:kern w:val="0"/>
                <w:szCs w:val="21"/>
              </w:rPr>
              <w:t>合</w:t>
            </w:r>
            <w:r>
              <w:rPr>
                <w:rFonts w:ascii="宋体" w:hAnsi="宋体" w:cs="宋体"/>
                <w:b/>
                <w:bCs/>
                <w:kern w:val="0"/>
                <w:szCs w:val="21"/>
              </w:rPr>
              <w:t xml:space="preserve">  </w:t>
            </w:r>
            <w:r>
              <w:rPr>
                <w:rFonts w:ascii="宋体" w:hAnsi="宋体" w:cs="宋体" w:hint="eastAsia"/>
                <w:b/>
                <w:bCs/>
                <w:kern w:val="0"/>
                <w:szCs w:val="21"/>
              </w:rPr>
              <w:t>计</w:t>
            </w:r>
          </w:p>
        </w:tc>
        <w:tc>
          <w:tcPr>
            <w:tcW w:w="2157" w:type="dxa"/>
            <w:tcBorders>
              <w:top w:val="nil"/>
              <w:left w:val="nil"/>
              <w:bottom w:val="single" w:sz="4" w:space="0" w:color="auto"/>
              <w:right w:val="single" w:sz="4" w:space="0" w:color="auto"/>
            </w:tcBorders>
            <w:vAlign w:val="center"/>
          </w:tcPr>
          <w:p w:rsidR="00D3221B" w:rsidRDefault="00D3221B" w:rsidP="00823674">
            <w:pPr>
              <w:widowControl/>
              <w:jc w:val="center"/>
              <w:rPr>
                <w:rFonts w:ascii="宋体" w:eastAsia="宋体" w:cs="宋体"/>
                <w:b/>
                <w:bCs/>
                <w:kern w:val="0"/>
                <w:szCs w:val="21"/>
              </w:rPr>
            </w:pPr>
            <w:r>
              <w:rPr>
                <w:rFonts w:ascii="宋体" w:hAnsi="宋体" w:cs="宋体"/>
                <w:b/>
                <w:bCs/>
                <w:kern w:val="0"/>
                <w:szCs w:val="21"/>
              </w:rPr>
              <w:t>33.12</w:t>
            </w:r>
          </w:p>
        </w:tc>
        <w:tc>
          <w:tcPr>
            <w:tcW w:w="2220" w:type="dxa"/>
            <w:tcBorders>
              <w:top w:val="nil"/>
              <w:left w:val="nil"/>
              <w:bottom w:val="single" w:sz="4" w:space="0" w:color="auto"/>
              <w:right w:val="single" w:sz="4" w:space="0" w:color="auto"/>
            </w:tcBorders>
            <w:vAlign w:val="center"/>
          </w:tcPr>
          <w:p w:rsidR="00D3221B" w:rsidRDefault="00D3221B" w:rsidP="00823674">
            <w:pPr>
              <w:widowControl/>
              <w:jc w:val="center"/>
              <w:rPr>
                <w:rFonts w:ascii="宋体" w:eastAsia="宋体" w:cs="宋体"/>
                <w:b/>
                <w:bCs/>
                <w:kern w:val="0"/>
                <w:szCs w:val="21"/>
              </w:rPr>
            </w:pPr>
            <w:r>
              <w:rPr>
                <w:rFonts w:ascii="宋体" w:hAnsi="宋体" w:cs="宋体"/>
                <w:b/>
                <w:bCs/>
                <w:kern w:val="0"/>
                <w:szCs w:val="21"/>
              </w:rPr>
              <w:t>9.57</w:t>
            </w:r>
          </w:p>
        </w:tc>
      </w:tr>
      <w:tr w:rsidR="00D3221B">
        <w:trPr>
          <w:trHeight w:val="397"/>
        </w:trPr>
        <w:tc>
          <w:tcPr>
            <w:tcW w:w="4379" w:type="dxa"/>
            <w:tcBorders>
              <w:top w:val="nil"/>
              <w:left w:val="single" w:sz="4" w:space="0" w:color="auto"/>
              <w:bottom w:val="single" w:sz="4" w:space="0" w:color="auto"/>
              <w:right w:val="single" w:sz="4" w:space="0" w:color="auto"/>
            </w:tcBorders>
            <w:vAlign w:val="center"/>
          </w:tcPr>
          <w:p w:rsidR="00D3221B" w:rsidRDefault="00D3221B">
            <w:pPr>
              <w:widowControl/>
              <w:jc w:val="left"/>
              <w:rPr>
                <w:rFonts w:ascii="宋体" w:eastAsia="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eastAsia="宋体" w:cs="宋体"/>
                <w:kern w:val="0"/>
                <w:szCs w:val="21"/>
              </w:rPr>
              <w:t>0</w:t>
            </w:r>
          </w:p>
        </w:tc>
        <w:tc>
          <w:tcPr>
            <w:tcW w:w="2220"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eastAsia="宋体" w:cs="宋体"/>
                <w:kern w:val="0"/>
                <w:szCs w:val="21"/>
              </w:rPr>
              <w:t>0</w:t>
            </w:r>
          </w:p>
        </w:tc>
      </w:tr>
      <w:tr w:rsidR="00D3221B">
        <w:trPr>
          <w:trHeight w:val="397"/>
        </w:trPr>
        <w:tc>
          <w:tcPr>
            <w:tcW w:w="4379" w:type="dxa"/>
            <w:tcBorders>
              <w:top w:val="nil"/>
              <w:left w:val="single" w:sz="4" w:space="0" w:color="auto"/>
              <w:bottom w:val="single" w:sz="4" w:space="0" w:color="auto"/>
              <w:right w:val="single" w:sz="4" w:space="0" w:color="auto"/>
            </w:tcBorders>
            <w:vAlign w:val="center"/>
          </w:tcPr>
          <w:p w:rsidR="00D3221B" w:rsidRDefault="00D3221B">
            <w:pPr>
              <w:widowControl/>
              <w:jc w:val="left"/>
              <w:rPr>
                <w:rFonts w:ascii="宋体" w:eastAsia="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hAnsi="宋体" w:cs="宋体"/>
                <w:kern w:val="0"/>
                <w:szCs w:val="21"/>
              </w:rPr>
              <w:t>15.12</w:t>
            </w:r>
          </w:p>
        </w:tc>
        <w:tc>
          <w:tcPr>
            <w:tcW w:w="2220"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hAnsi="宋体" w:cs="宋体"/>
                <w:kern w:val="0"/>
                <w:szCs w:val="21"/>
              </w:rPr>
              <w:t>1.58</w:t>
            </w:r>
          </w:p>
        </w:tc>
      </w:tr>
      <w:tr w:rsidR="00D3221B">
        <w:trPr>
          <w:trHeight w:val="397"/>
        </w:trPr>
        <w:tc>
          <w:tcPr>
            <w:tcW w:w="4379" w:type="dxa"/>
            <w:tcBorders>
              <w:top w:val="nil"/>
              <w:left w:val="single" w:sz="4" w:space="0" w:color="auto"/>
              <w:bottom w:val="single" w:sz="4" w:space="0" w:color="auto"/>
              <w:right w:val="single" w:sz="4" w:space="0" w:color="auto"/>
            </w:tcBorders>
            <w:vAlign w:val="center"/>
          </w:tcPr>
          <w:p w:rsidR="00D3221B" w:rsidRDefault="00D3221B">
            <w:pPr>
              <w:widowControl/>
              <w:jc w:val="left"/>
              <w:rPr>
                <w:rFonts w:ascii="宋体" w:eastAsia="宋体" w:cs="宋体"/>
                <w:kern w:val="0"/>
                <w:szCs w:val="21"/>
              </w:rPr>
            </w:pPr>
            <w:r>
              <w:rPr>
                <w:rFonts w:ascii="宋体" w:hAnsi="宋体" w:cs="宋体" w:hint="eastAsia"/>
                <w:kern w:val="0"/>
                <w:szCs w:val="21"/>
              </w:rPr>
              <w:t>公务用车购置及运行维护费</w:t>
            </w:r>
          </w:p>
        </w:tc>
        <w:tc>
          <w:tcPr>
            <w:tcW w:w="2157"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hAnsi="宋体" w:cs="宋体"/>
                <w:kern w:val="0"/>
                <w:szCs w:val="21"/>
              </w:rPr>
              <w:t>18.0</w:t>
            </w:r>
          </w:p>
        </w:tc>
        <w:tc>
          <w:tcPr>
            <w:tcW w:w="2220"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hAnsi="宋体" w:cs="宋体"/>
                <w:kern w:val="0"/>
                <w:szCs w:val="21"/>
              </w:rPr>
              <w:t>7.99</w:t>
            </w:r>
          </w:p>
        </w:tc>
      </w:tr>
      <w:tr w:rsidR="00D3221B">
        <w:trPr>
          <w:trHeight w:val="397"/>
        </w:trPr>
        <w:tc>
          <w:tcPr>
            <w:tcW w:w="4379" w:type="dxa"/>
            <w:tcBorders>
              <w:top w:val="nil"/>
              <w:left w:val="single" w:sz="4" w:space="0" w:color="auto"/>
              <w:bottom w:val="single" w:sz="4" w:space="0" w:color="auto"/>
              <w:right w:val="single" w:sz="4" w:space="0" w:color="auto"/>
            </w:tcBorders>
            <w:vAlign w:val="center"/>
          </w:tcPr>
          <w:p w:rsidR="00D3221B" w:rsidRDefault="00D3221B">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其中：公务用车运行维护费</w:t>
            </w:r>
          </w:p>
        </w:tc>
        <w:tc>
          <w:tcPr>
            <w:tcW w:w="2157"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hAnsi="宋体" w:cs="宋体"/>
                <w:kern w:val="0"/>
                <w:szCs w:val="21"/>
              </w:rPr>
              <w:t>18.0</w:t>
            </w:r>
          </w:p>
        </w:tc>
        <w:tc>
          <w:tcPr>
            <w:tcW w:w="2220"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hAnsi="宋体" w:cs="宋体"/>
                <w:kern w:val="0"/>
                <w:szCs w:val="21"/>
              </w:rPr>
              <w:t>7.99</w:t>
            </w:r>
          </w:p>
        </w:tc>
      </w:tr>
      <w:tr w:rsidR="00D3221B">
        <w:trPr>
          <w:trHeight w:val="397"/>
        </w:trPr>
        <w:tc>
          <w:tcPr>
            <w:tcW w:w="4379" w:type="dxa"/>
            <w:tcBorders>
              <w:top w:val="nil"/>
              <w:left w:val="single" w:sz="4" w:space="0" w:color="auto"/>
              <w:bottom w:val="single" w:sz="4" w:space="0" w:color="auto"/>
              <w:right w:val="single" w:sz="4" w:space="0" w:color="auto"/>
            </w:tcBorders>
            <w:vAlign w:val="center"/>
          </w:tcPr>
          <w:p w:rsidR="00D3221B" w:rsidRDefault="00D3221B">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公务用车购置费</w:t>
            </w:r>
            <w:r>
              <w:rPr>
                <w:rFonts w:ascii="宋体" w:hAnsi="宋体" w:cs="宋体"/>
                <w:kern w:val="0"/>
                <w:szCs w:val="21"/>
              </w:rPr>
              <w:t xml:space="preserve"> </w:t>
            </w:r>
          </w:p>
        </w:tc>
        <w:tc>
          <w:tcPr>
            <w:tcW w:w="2157"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eastAsia="宋体" w:cs="宋体"/>
                <w:kern w:val="0"/>
                <w:szCs w:val="21"/>
              </w:rPr>
              <w:t>0</w:t>
            </w:r>
          </w:p>
        </w:tc>
        <w:tc>
          <w:tcPr>
            <w:tcW w:w="2220" w:type="dxa"/>
            <w:tcBorders>
              <w:top w:val="nil"/>
              <w:left w:val="nil"/>
              <w:bottom w:val="single" w:sz="4" w:space="0" w:color="auto"/>
              <w:right w:val="single" w:sz="4" w:space="0" w:color="auto"/>
            </w:tcBorders>
            <w:vAlign w:val="bottom"/>
          </w:tcPr>
          <w:p w:rsidR="00D3221B" w:rsidRDefault="00D3221B" w:rsidP="00823674">
            <w:pPr>
              <w:widowControl/>
              <w:jc w:val="center"/>
              <w:rPr>
                <w:rFonts w:ascii="宋体" w:eastAsia="宋体" w:cs="宋体"/>
                <w:kern w:val="0"/>
                <w:szCs w:val="21"/>
              </w:rPr>
            </w:pPr>
            <w:r>
              <w:rPr>
                <w:rFonts w:ascii="宋体" w:eastAsia="宋体" w:cs="宋体"/>
                <w:kern w:val="0"/>
                <w:szCs w:val="21"/>
              </w:rPr>
              <w:t>0</w:t>
            </w:r>
          </w:p>
        </w:tc>
      </w:tr>
    </w:tbl>
    <w:p w:rsidR="00D3221B" w:rsidRDefault="00D3221B" w:rsidP="00D3221B">
      <w:pPr>
        <w:ind w:firstLineChars="100" w:firstLine="31680"/>
        <w:rPr>
          <w:rFonts w:ascii="仿宋_GB2312" w:hAnsi="仿宋"/>
          <w:bCs/>
          <w:sz w:val="24"/>
          <w:szCs w:val="24"/>
        </w:rPr>
      </w:pPr>
      <w:r>
        <w:rPr>
          <w:rFonts w:ascii="黑体" w:eastAsia="黑体" w:hAnsi="黑体"/>
          <w:szCs w:val="32"/>
        </w:rPr>
        <w:t xml:space="preserve"> </w:t>
      </w:r>
      <w:r>
        <w:rPr>
          <w:rFonts w:ascii="仿宋_GB2312" w:hAnsi="仿宋" w:hint="eastAsia"/>
          <w:bCs/>
          <w:sz w:val="24"/>
          <w:szCs w:val="24"/>
        </w:rPr>
        <w:t>注：本表反映部门本年度“三公”经费支出预决算情况。其中，预算数为“三公”经费年初预算数，决算数是包括当年一般公共预算财政拨款和以前年度结转资金安排的实际支出；本表金额转换成万元时，因四舍五入可能存在尾差。</w:t>
      </w:r>
    </w:p>
    <w:p w:rsidR="00D3221B" w:rsidRDefault="00D3221B" w:rsidP="00FC05B9">
      <w:pPr>
        <w:ind w:firstLineChars="200" w:firstLine="31680"/>
        <w:rPr>
          <w:rFonts w:ascii="黑体" w:eastAsia="黑体" w:hAnsi="黑体"/>
          <w:szCs w:val="32"/>
        </w:rPr>
      </w:pPr>
      <w:r>
        <w:rPr>
          <w:rFonts w:ascii="黑体" w:eastAsia="黑体" w:hAnsi="黑体"/>
          <w:szCs w:val="32"/>
        </w:rPr>
        <w:t xml:space="preserve">                               </w:t>
      </w:r>
    </w:p>
    <w:p w:rsidR="00D3221B" w:rsidRDefault="00D3221B">
      <w:pPr>
        <w:outlineLvl w:val="1"/>
        <w:rPr>
          <w:rFonts w:ascii="黑体" w:eastAsia="黑体" w:hAnsi="黑体"/>
          <w:szCs w:val="32"/>
        </w:rPr>
      </w:pPr>
      <w:r>
        <w:rPr>
          <w:rFonts w:ascii="黑体" w:eastAsia="黑体" w:hAnsi="黑体"/>
          <w:szCs w:val="32"/>
        </w:rPr>
        <w:t xml:space="preserve">    </w:t>
      </w:r>
      <w:r>
        <w:rPr>
          <w:rFonts w:ascii="黑体" w:eastAsia="黑体" w:hAnsi="黑体" w:hint="eastAsia"/>
          <w:szCs w:val="32"/>
        </w:rPr>
        <w:t>二、</w:t>
      </w:r>
      <w:r>
        <w:rPr>
          <w:rFonts w:ascii="黑体" w:eastAsia="黑体" w:hAnsi="黑体"/>
          <w:szCs w:val="32"/>
        </w:rPr>
        <w:t>2020</w:t>
      </w:r>
      <w:r>
        <w:rPr>
          <w:rFonts w:ascii="黑体" w:eastAsia="黑体" w:hAnsi="黑体" w:hint="eastAsia"/>
          <w:szCs w:val="32"/>
        </w:rPr>
        <w:t>年度一般公共预算财政拨款“三公”经费支出情况说明</w:t>
      </w:r>
    </w:p>
    <w:p w:rsidR="00D3221B" w:rsidRDefault="00D3221B" w:rsidP="00FC05B9">
      <w:pPr>
        <w:ind w:firstLineChars="200" w:firstLine="31680"/>
        <w:outlineLvl w:val="2"/>
        <w:rPr>
          <w:rFonts w:ascii="仿宋_GB2312" w:hAnsi="仿宋"/>
          <w:b/>
          <w:szCs w:val="32"/>
        </w:rPr>
      </w:pPr>
      <w:r>
        <w:rPr>
          <w:rFonts w:ascii="仿宋_GB2312" w:hAnsi="仿宋" w:hint="eastAsia"/>
          <w:b/>
          <w:szCs w:val="32"/>
        </w:rPr>
        <w:t>（一）一般公共预算财政拨款“三公”经费支出决算总体情况说明。</w:t>
      </w:r>
    </w:p>
    <w:p w:rsidR="00D3221B" w:rsidRDefault="00D3221B" w:rsidP="00FC05B9">
      <w:pPr>
        <w:ind w:firstLineChars="200" w:firstLine="31680"/>
        <w:rPr>
          <w:rFonts w:ascii="仿宋_GB2312" w:hAnsi="仿宋"/>
          <w:szCs w:val="32"/>
        </w:rPr>
      </w:pPr>
      <w:r>
        <w:rPr>
          <w:rFonts w:ascii="仿宋_GB2312" w:hAnsi="仿宋" w:hint="eastAsia"/>
          <w:szCs w:val="32"/>
        </w:rPr>
        <w:t>黄山市广播电视台</w:t>
      </w:r>
      <w:r>
        <w:rPr>
          <w:rFonts w:ascii="仿宋_GB2312" w:hAnsi="仿宋"/>
          <w:szCs w:val="32"/>
        </w:rPr>
        <w:t>2020</w:t>
      </w:r>
      <w:r>
        <w:rPr>
          <w:rFonts w:ascii="仿宋_GB2312" w:hAnsi="仿宋" w:hint="eastAsia"/>
          <w:szCs w:val="32"/>
        </w:rPr>
        <w:t>年度一般公共预算财政拨款“三公”经费支出预算为</w:t>
      </w:r>
      <w:r>
        <w:rPr>
          <w:rFonts w:ascii="仿宋_GB2312" w:hAnsi="仿宋"/>
          <w:szCs w:val="32"/>
        </w:rPr>
        <w:t>33.12</w:t>
      </w:r>
      <w:r>
        <w:rPr>
          <w:rFonts w:ascii="仿宋_GB2312" w:hAnsi="仿宋" w:hint="eastAsia"/>
          <w:szCs w:val="32"/>
        </w:rPr>
        <w:t>万元，支出决算为</w:t>
      </w:r>
      <w:r>
        <w:rPr>
          <w:rFonts w:ascii="仿宋_GB2312" w:hAnsi="仿宋"/>
          <w:szCs w:val="32"/>
        </w:rPr>
        <w:t>9.57</w:t>
      </w:r>
      <w:r>
        <w:rPr>
          <w:rFonts w:ascii="仿宋_GB2312" w:hAnsi="仿宋" w:hint="eastAsia"/>
          <w:szCs w:val="32"/>
        </w:rPr>
        <w:t>万元，完成预算的</w:t>
      </w:r>
      <w:r>
        <w:rPr>
          <w:rFonts w:ascii="仿宋_GB2312" w:hAnsi="仿宋"/>
          <w:szCs w:val="32"/>
        </w:rPr>
        <w:t>28.9%</w:t>
      </w:r>
      <w:r>
        <w:rPr>
          <w:rFonts w:ascii="仿宋_GB2312" w:hAnsi="仿宋" w:hint="eastAsia"/>
          <w:szCs w:val="32"/>
        </w:rPr>
        <w:t>，决算数小于预算数的主要原因是</w:t>
      </w:r>
      <w:r w:rsidRPr="0058670B">
        <w:rPr>
          <w:rFonts w:ascii="仿宋_GB2312" w:hAnsi="仿宋" w:hint="eastAsia"/>
          <w:szCs w:val="32"/>
        </w:rPr>
        <w:t>公务接待费支出减少，公务用车运行费支出减少</w:t>
      </w:r>
      <w:r>
        <w:rPr>
          <w:rFonts w:ascii="仿宋_GB2312" w:hAnsi="仿宋" w:hint="eastAsia"/>
          <w:szCs w:val="32"/>
        </w:rPr>
        <w:t>。为全面反映“三公”经费支出，本次公布的“三公”经费决算为部门汇总数，包含台本级和台属单位。</w:t>
      </w:r>
    </w:p>
    <w:p w:rsidR="00D3221B" w:rsidRDefault="00D3221B" w:rsidP="00FC05B9">
      <w:pPr>
        <w:ind w:firstLineChars="200" w:firstLine="31680"/>
        <w:outlineLvl w:val="2"/>
        <w:rPr>
          <w:rFonts w:ascii="仿宋_GB2312" w:hAnsi="仿宋"/>
          <w:b/>
          <w:szCs w:val="32"/>
        </w:rPr>
      </w:pPr>
      <w:r>
        <w:rPr>
          <w:rFonts w:ascii="仿宋_GB2312" w:hAnsi="仿宋" w:hint="eastAsia"/>
          <w:b/>
          <w:bCs/>
          <w:szCs w:val="32"/>
        </w:rPr>
        <w:t>（二）</w:t>
      </w:r>
      <w:r>
        <w:rPr>
          <w:rFonts w:ascii="仿宋_GB2312" w:hAnsi="仿宋" w:hint="eastAsia"/>
          <w:b/>
          <w:szCs w:val="32"/>
        </w:rPr>
        <w:t>一般公共预算财政拨款“三公”经费支出决算具体情况说明。</w:t>
      </w:r>
    </w:p>
    <w:p w:rsidR="00D3221B" w:rsidRDefault="00D3221B" w:rsidP="00FC05B9">
      <w:pPr>
        <w:ind w:firstLineChars="200" w:firstLine="31680"/>
        <w:rPr>
          <w:rFonts w:ascii="仿宋_GB2312" w:hAnsi="仿宋"/>
          <w:szCs w:val="32"/>
        </w:rPr>
      </w:pPr>
      <w:r>
        <w:rPr>
          <w:rFonts w:ascii="仿宋_GB2312" w:hAnsi="仿宋" w:hint="eastAsia"/>
          <w:szCs w:val="32"/>
        </w:rPr>
        <w:t>黄山市广播电视台</w:t>
      </w:r>
      <w:r>
        <w:rPr>
          <w:rFonts w:ascii="仿宋_GB2312" w:hAnsi="仿宋"/>
          <w:szCs w:val="32"/>
        </w:rPr>
        <w:t>2020</w:t>
      </w:r>
      <w:r>
        <w:rPr>
          <w:rFonts w:ascii="仿宋_GB2312" w:hAnsi="仿宋" w:hint="eastAsia"/>
          <w:szCs w:val="32"/>
        </w:rPr>
        <w:t>年度一般公共预算财政拨款“三公”经费支出决算中，因公出国（境）费支出决算</w:t>
      </w:r>
      <w:r>
        <w:rPr>
          <w:rFonts w:ascii="仿宋_GB2312" w:hAnsi="仿宋"/>
          <w:szCs w:val="32"/>
        </w:rPr>
        <w:t>0</w:t>
      </w:r>
      <w:r>
        <w:rPr>
          <w:rFonts w:ascii="仿宋_GB2312" w:hAnsi="仿宋" w:hint="eastAsia"/>
          <w:szCs w:val="32"/>
        </w:rPr>
        <w:t>万元，占</w:t>
      </w:r>
      <w:r>
        <w:rPr>
          <w:rFonts w:ascii="仿宋_GB2312" w:hAnsi="仿宋"/>
          <w:szCs w:val="32"/>
        </w:rPr>
        <w:t>0.0%;</w:t>
      </w:r>
      <w:r>
        <w:rPr>
          <w:rFonts w:ascii="仿宋_GB2312" w:hAnsi="仿宋" w:hint="eastAsia"/>
          <w:szCs w:val="32"/>
        </w:rPr>
        <w:t>公务接待费支出决算</w:t>
      </w:r>
      <w:r>
        <w:rPr>
          <w:rFonts w:ascii="仿宋_GB2312" w:hAnsi="仿宋"/>
          <w:szCs w:val="32"/>
        </w:rPr>
        <w:t>1.58</w:t>
      </w:r>
      <w:r>
        <w:rPr>
          <w:rFonts w:ascii="仿宋_GB2312" w:hAnsi="仿宋" w:hint="eastAsia"/>
          <w:szCs w:val="32"/>
        </w:rPr>
        <w:t>万元，占</w:t>
      </w:r>
      <w:r>
        <w:rPr>
          <w:rFonts w:ascii="仿宋_GB2312" w:hAnsi="仿宋"/>
          <w:szCs w:val="32"/>
        </w:rPr>
        <w:t>16.5%</w:t>
      </w:r>
      <w:r>
        <w:rPr>
          <w:rFonts w:ascii="仿宋_GB2312" w:hAnsi="仿宋" w:hint="eastAsia"/>
          <w:szCs w:val="32"/>
        </w:rPr>
        <w:t>；公务用车购置及运行维护费支出决算</w:t>
      </w:r>
      <w:r>
        <w:rPr>
          <w:rFonts w:ascii="仿宋_GB2312" w:hAnsi="仿宋"/>
          <w:szCs w:val="32"/>
        </w:rPr>
        <w:t>7.99</w:t>
      </w:r>
      <w:r>
        <w:rPr>
          <w:rFonts w:ascii="仿宋_GB2312" w:hAnsi="仿宋" w:hint="eastAsia"/>
          <w:szCs w:val="32"/>
        </w:rPr>
        <w:t>万元，占</w:t>
      </w:r>
      <w:r>
        <w:rPr>
          <w:rFonts w:ascii="仿宋_GB2312" w:hAnsi="仿宋"/>
          <w:szCs w:val="32"/>
        </w:rPr>
        <w:t>83.5%</w:t>
      </w:r>
      <w:r>
        <w:rPr>
          <w:rFonts w:ascii="仿宋_GB2312" w:hAnsi="仿宋" w:hint="eastAsia"/>
          <w:szCs w:val="32"/>
        </w:rPr>
        <w:t>。具体情况如下：</w:t>
      </w:r>
    </w:p>
    <w:p w:rsidR="00D3221B" w:rsidRDefault="00D3221B">
      <w:pPr>
        <w:ind w:firstLine="628"/>
        <w:rPr>
          <w:rFonts w:ascii="仿宋_GB2312" w:hAnsi="仿宋"/>
          <w:szCs w:val="32"/>
        </w:rPr>
      </w:pPr>
      <w:r>
        <w:rPr>
          <w:rFonts w:ascii="仿宋_GB2312" w:hAnsi="仿宋"/>
          <w:b/>
          <w:bCs/>
          <w:szCs w:val="32"/>
        </w:rPr>
        <w:t>1.</w:t>
      </w:r>
      <w:r>
        <w:rPr>
          <w:rFonts w:ascii="仿宋_GB2312" w:hAnsi="仿宋" w:hint="eastAsia"/>
          <w:b/>
          <w:bCs/>
          <w:szCs w:val="32"/>
        </w:rPr>
        <w:t>因公出国（境）费支出</w:t>
      </w:r>
      <w:r>
        <w:rPr>
          <w:rFonts w:ascii="仿宋_GB2312" w:hAnsi="仿宋"/>
          <w:szCs w:val="32"/>
        </w:rPr>
        <w:t>0</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年度预算相同，本年无因公出国境费支出。经费使用严格按照《黄山市财政局</w:t>
      </w:r>
      <w:r>
        <w:rPr>
          <w:rFonts w:ascii="仿宋_GB2312" w:hAnsi="仿宋"/>
          <w:szCs w:val="32"/>
        </w:rPr>
        <w:t xml:space="preserve"> </w:t>
      </w:r>
      <w:r>
        <w:rPr>
          <w:rFonts w:ascii="仿宋_GB2312" w:hAnsi="仿宋" w:hint="eastAsia"/>
          <w:szCs w:val="32"/>
        </w:rPr>
        <w:t>黄山市政府外事办公室关于转发</w:t>
      </w:r>
      <w:r>
        <w:rPr>
          <w:rFonts w:ascii="仿宋_GB2312" w:hAnsi="仿宋"/>
          <w:szCs w:val="32"/>
        </w:rPr>
        <w:t>&lt;</w:t>
      </w:r>
      <w:r>
        <w:rPr>
          <w:rFonts w:ascii="仿宋_GB2312" w:hAnsi="仿宋" w:hint="eastAsia"/>
          <w:szCs w:val="32"/>
        </w:rPr>
        <w:t>安徽省省直党政机关因公临时出国经费管理办法</w:t>
      </w:r>
      <w:r>
        <w:rPr>
          <w:rFonts w:ascii="仿宋_GB2312" w:hAnsi="仿宋"/>
          <w:szCs w:val="32"/>
        </w:rPr>
        <w:t>&gt;</w:t>
      </w:r>
      <w:r>
        <w:rPr>
          <w:rFonts w:ascii="仿宋_GB2312" w:hAnsi="仿宋" w:hint="eastAsia"/>
          <w:szCs w:val="32"/>
        </w:rPr>
        <w:t>的通知》（黄财行〔</w:t>
      </w:r>
      <w:r>
        <w:rPr>
          <w:rFonts w:ascii="仿宋_GB2312" w:hAnsi="仿宋"/>
          <w:szCs w:val="32"/>
        </w:rPr>
        <w:t>2014</w:t>
      </w:r>
      <w:r>
        <w:rPr>
          <w:rFonts w:ascii="仿宋_GB2312" w:hAnsi="仿宋" w:hint="eastAsia"/>
          <w:szCs w:val="32"/>
        </w:rPr>
        <w:t>〕</w:t>
      </w:r>
      <w:r>
        <w:rPr>
          <w:rFonts w:ascii="仿宋_GB2312" w:hAnsi="仿宋"/>
          <w:szCs w:val="32"/>
        </w:rPr>
        <w:t>68</w:t>
      </w:r>
      <w:r>
        <w:rPr>
          <w:rFonts w:ascii="仿宋_GB2312" w:hAnsi="仿宋" w:hint="eastAsia"/>
          <w:szCs w:val="32"/>
        </w:rPr>
        <w:t>号）、《黄山市财政局</w:t>
      </w:r>
      <w:r>
        <w:rPr>
          <w:rFonts w:ascii="仿宋_GB2312" w:hAnsi="仿宋"/>
          <w:szCs w:val="32"/>
        </w:rPr>
        <w:t xml:space="preserve"> </w:t>
      </w:r>
      <w:r>
        <w:rPr>
          <w:rFonts w:ascii="仿宋_GB2312" w:hAnsi="仿宋" w:hint="eastAsia"/>
          <w:szCs w:val="32"/>
        </w:rPr>
        <w:t>黄山市人力资源和社会保障局转发</w:t>
      </w:r>
      <w:r>
        <w:rPr>
          <w:rFonts w:ascii="仿宋_GB2312" w:hAnsi="仿宋"/>
          <w:szCs w:val="32"/>
        </w:rPr>
        <w:t>&lt;</w:t>
      </w:r>
      <w:r>
        <w:rPr>
          <w:rFonts w:ascii="仿宋_GB2312" w:hAnsi="仿宋" w:hint="eastAsia"/>
          <w:szCs w:val="32"/>
        </w:rPr>
        <w:t>安徽省省直党政机关因公短期出国培训费用管理办法</w:t>
      </w:r>
      <w:r>
        <w:rPr>
          <w:rFonts w:ascii="仿宋_GB2312" w:hAnsi="仿宋"/>
          <w:szCs w:val="32"/>
        </w:rPr>
        <w:t>&gt;</w:t>
      </w:r>
      <w:r>
        <w:rPr>
          <w:rFonts w:ascii="仿宋_GB2312" w:hAnsi="仿宋" w:hint="eastAsia"/>
          <w:szCs w:val="32"/>
        </w:rPr>
        <w:t>的通知》（黄财社〔</w:t>
      </w:r>
      <w:r>
        <w:rPr>
          <w:rFonts w:ascii="仿宋_GB2312" w:hAnsi="仿宋"/>
          <w:szCs w:val="32"/>
        </w:rPr>
        <w:t>2014</w:t>
      </w:r>
      <w:r>
        <w:rPr>
          <w:rFonts w:ascii="仿宋_GB2312" w:hAnsi="仿宋" w:hint="eastAsia"/>
          <w:szCs w:val="32"/>
        </w:rPr>
        <w:t>〕</w:t>
      </w:r>
      <w:r>
        <w:rPr>
          <w:rFonts w:ascii="仿宋_GB2312" w:hAnsi="仿宋"/>
          <w:szCs w:val="32"/>
        </w:rPr>
        <w:t>262</w:t>
      </w:r>
      <w:r>
        <w:rPr>
          <w:rFonts w:ascii="仿宋_GB2312" w:hAnsi="仿宋" w:hint="eastAsia"/>
          <w:szCs w:val="32"/>
        </w:rPr>
        <w:t>号）相关规定执行。</w:t>
      </w:r>
      <w:r>
        <w:rPr>
          <w:rFonts w:ascii="仿宋_GB2312" w:hAnsi="仿宋"/>
          <w:szCs w:val="32"/>
        </w:rPr>
        <w:t xml:space="preserve"> </w:t>
      </w:r>
    </w:p>
    <w:p w:rsidR="00D3221B" w:rsidRDefault="00D3221B" w:rsidP="00FC05B9">
      <w:pPr>
        <w:ind w:firstLineChars="200" w:firstLine="31680"/>
        <w:rPr>
          <w:rFonts w:ascii="仿宋_GB2312" w:hAnsi="仿宋"/>
          <w:szCs w:val="32"/>
        </w:rPr>
      </w:pPr>
      <w:r>
        <w:rPr>
          <w:rFonts w:ascii="仿宋_GB2312" w:hAnsi="仿宋"/>
          <w:b/>
          <w:bCs/>
          <w:szCs w:val="32"/>
        </w:rPr>
        <w:t>2.</w:t>
      </w:r>
      <w:r>
        <w:rPr>
          <w:rFonts w:ascii="仿宋_GB2312" w:hAnsi="仿宋" w:hint="eastAsia"/>
          <w:b/>
          <w:bCs/>
          <w:szCs w:val="32"/>
        </w:rPr>
        <w:t>公务接待费支出</w:t>
      </w:r>
      <w:r>
        <w:rPr>
          <w:rFonts w:ascii="仿宋_GB2312" w:hAnsi="仿宋"/>
          <w:szCs w:val="32"/>
        </w:rPr>
        <w:t>1.58</w:t>
      </w:r>
      <w:r>
        <w:rPr>
          <w:rFonts w:ascii="仿宋_GB2312" w:hAnsi="仿宋" w:hint="eastAsia"/>
          <w:szCs w:val="32"/>
        </w:rPr>
        <w:t>万元</w:t>
      </w:r>
      <w:r>
        <w:rPr>
          <w:rFonts w:ascii="仿宋_GB2312" w:hAnsi="仿宋"/>
          <w:szCs w:val="32"/>
        </w:rPr>
        <w:t xml:space="preserve">, </w:t>
      </w:r>
      <w:r>
        <w:rPr>
          <w:rFonts w:ascii="仿宋_GB2312" w:hAnsi="仿宋" w:hint="eastAsia"/>
          <w:szCs w:val="32"/>
        </w:rPr>
        <w:t>与</w:t>
      </w:r>
      <w:r>
        <w:rPr>
          <w:rFonts w:ascii="仿宋_GB2312" w:hAnsi="仿宋"/>
          <w:szCs w:val="32"/>
        </w:rPr>
        <w:t>2020</w:t>
      </w:r>
      <w:r>
        <w:rPr>
          <w:rFonts w:ascii="仿宋_GB2312" w:hAnsi="仿宋" w:hint="eastAsia"/>
          <w:szCs w:val="32"/>
        </w:rPr>
        <w:t>年度预算相比，减少</w:t>
      </w:r>
      <w:r>
        <w:rPr>
          <w:rFonts w:ascii="仿宋_GB2312" w:hAnsi="仿宋"/>
          <w:szCs w:val="32"/>
        </w:rPr>
        <w:t>13.54</w:t>
      </w:r>
      <w:r>
        <w:rPr>
          <w:rFonts w:ascii="仿宋_GB2312" w:hAnsi="仿宋" w:hint="eastAsia"/>
          <w:szCs w:val="32"/>
        </w:rPr>
        <w:t>万元，下降</w:t>
      </w:r>
      <w:r>
        <w:rPr>
          <w:rFonts w:ascii="仿宋_GB2312" w:hAnsi="仿宋"/>
          <w:szCs w:val="32"/>
        </w:rPr>
        <w:t>89.6%</w:t>
      </w:r>
      <w:r>
        <w:rPr>
          <w:rFonts w:ascii="仿宋_GB2312" w:hAnsi="仿宋" w:hint="eastAsia"/>
          <w:szCs w:val="32"/>
        </w:rPr>
        <w:t>，下降的原因是公务接待支出减少。</w:t>
      </w:r>
      <w:r>
        <w:rPr>
          <w:rFonts w:ascii="仿宋_GB2312" w:hAnsi="仿宋"/>
          <w:szCs w:val="32"/>
        </w:rPr>
        <w:t>2020</w:t>
      </w:r>
      <w:r>
        <w:rPr>
          <w:rFonts w:ascii="仿宋_GB2312" w:hAnsi="仿宋" w:hint="eastAsia"/>
          <w:szCs w:val="32"/>
        </w:rPr>
        <w:t>年黄山市广播电视台国内公务接待共</w:t>
      </w:r>
      <w:r>
        <w:rPr>
          <w:rFonts w:ascii="仿宋_GB2312" w:hAnsi="仿宋"/>
          <w:szCs w:val="32"/>
        </w:rPr>
        <w:t>38</w:t>
      </w:r>
      <w:r>
        <w:rPr>
          <w:rFonts w:ascii="仿宋_GB2312" w:hAnsi="仿宋" w:hint="eastAsia"/>
          <w:szCs w:val="32"/>
        </w:rPr>
        <w:t>批次（其中外事接待</w:t>
      </w:r>
      <w:r>
        <w:rPr>
          <w:rFonts w:ascii="仿宋_GB2312" w:hAnsi="仿宋"/>
          <w:szCs w:val="32"/>
        </w:rPr>
        <w:t>0</w:t>
      </w:r>
      <w:r>
        <w:rPr>
          <w:rFonts w:ascii="仿宋_GB2312" w:hAnsi="仿宋" w:hint="eastAsia"/>
          <w:szCs w:val="32"/>
        </w:rPr>
        <w:t>批次），</w:t>
      </w:r>
      <w:r>
        <w:rPr>
          <w:rFonts w:ascii="仿宋_GB2312" w:hAnsi="仿宋"/>
          <w:szCs w:val="32"/>
        </w:rPr>
        <w:t>299</w:t>
      </w:r>
      <w:r>
        <w:rPr>
          <w:rFonts w:ascii="仿宋_GB2312" w:hAnsi="仿宋" w:hint="eastAsia"/>
          <w:szCs w:val="32"/>
        </w:rPr>
        <w:t>人次（其中外事接待</w:t>
      </w:r>
      <w:r>
        <w:rPr>
          <w:rFonts w:ascii="仿宋_GB2312" w:hAnsi="仿宋"/>
          <w:szCs w:val="32"/>
        </w:rPr>
        <w:t>0</w:t>
      </w:r>
      <w:r>
        <w:rPr>
          <w:rFonts w:ascii="仿宋_GB2312" w:hAnsi="仿宋" w:hint="eastAsia"/>
          <w:szCs w:val="32"/>
        </w:rPr>
        <w:t>人次）。主要是用于用于</w:t>
      </w:r>
      <w:r w:rsidRPr="0058670B">
        <w:rPr>
          <w:rFonts w:ascii="仿宋_GB2312" w:hAnsi="仿宋" w:hint="eastAsia"/>
          <w:szCs w:val="32"/>
        </w:rPr>
        <w:t>接待中央台，省台及外省单位业务指导和工作调研等公务往来支出，包括来宾的食宿费</w:t>
      </w:r>
      <w:r>
        <w:rPr>
          <w:rFonts w:ascii="仿宋_GB2312" w:hAnsi="仿宋" w:hint="eastAsia"/>
          <w:szCs w:val="32"/>
        </w:rPr>
        <w:t>。经费使用贯彻党中央“八项规定”和省委省政府</w:t>
      </w:r>
      <w:r>
        <w:rPr>
          <w:rFonts w:ascii="仿宋_GB2312" w:hAnsi="仿宋"/>
          <w:szCs w:val="32"/>
        </w:rPr>
        <w:t>30</w:t>
      </w:r>
      <w:r>
        <w:rPr>
          <w:rFonts w:ascii="仿宋_GB2312" w:hAnsi="仿宋" w:hint="eastAsia"/>
          <w:szCs w:val="32"/>
        </w:rPr>
        <w:t>条要求，严格执行《党政机关厉行节约反对浪费条例》、《黄山市党政机关国内公务接待管理细则》（黄办〔</w:t>
      </w:r>
      <w:r>
        <w:rPr>
          <w:rFonts w:ascii="仿宋_GB2312" w:hAnsi="仿宋"/>
          <w:szCs w:val="32"/>
        </w:rPr>
        <w:t>2014</w:t>
      </w:r>
      <w:r>
        <w:rPr>
          <w:rFonts w:ascii="仿宋_GB2312" w:hAnsi="仿宋" w:hint="eastAsia"/>
          <w:szCs w:val="32"/>
        </w:rPr>
        <w:t>〕</w:t>
      </w:r>
      <w:r>
        <w:rPr>
          <w:rFonts w:ascii="仿宋_GB2312" w:hAnsi="仿宋"/>
          <w:szCs w:val="32"/>
        </w:rPr>
        <w:t>21</w:t>
      </w:r>
      <w:r>
        <w:rPr>
          <w:rFonts w:ascii="仿宋_GB2312" w:hAnsi="仿宋" w:hint="eastAsia"/>
          <w:szCs w:val="32"/>
        </w:rPr>
        <w:t>号）、《黄山市党政机关国内公务考察及公务接待管理暂行办法》（黄办</w:t>
      </w:r>
      <w:r>
        <w:rPr>
          <w:rFonts w:ascii="仿宋_GB2312" w:hAnsi="仿宋"/>
          <w:szCs w:val="32"/>
        </w:rPr>
        <w:t>[2013]11</w:t>
      </w:r>
      <w:r>
        <w:rPr>
          <w:rFonts w:ascii="仿宋_GB2312" w:hAnsi="仿宋" w:hint="eastAsia"/>
          <w:szCs w:val="32"/>
        </w:rPr>
        <w:t>号）、《黄山市市直机关外宾接待经费管理办法》（黄财行</w:t>
      </w:r>
      <w:r>
        <w:rPr>
          <w:rFonts w:ascii="仿宋_GB2312" w:hAnsi="仿宋"/>
          <w:szCs w:val="32"/>
        </w:rPr>
        <w:t>[2014]317</w:t>
      </w:r>
      <w:r>
        <w:rPr>
          <w:rFonts w:ascii="仿宋_GB2312" w:hAnsi="仿宋" w:hint="eastAsia"/>
          <w:szCs w:val="32"/>
        </w:rPr>
        <w:t>号）、《关于进一步加强公务接待经费管理的通知》（黄财行</w:t>
      </w:r>
      <w:r>
        <w:rPr>
          <w:rFonts w:ascii="仿宋_GB2312" w:hAnsi="仿宋"/>
          <w:szCs w:val="32"/>
        </w:rPr>
        <w:t>[2015]315</w:t>
      </w:r>
      <w:r>
        <w:rPr>
          <w:rFonts w:ascii="仿宋_GB2312" w:hAnsi="仿宋" w:hint="eastAsia"/>
          <w:szCs w:val="32"/>
        </w:rPr>
        <w:t>号）。</w:t>
      </w:r>
    </w:p>
    <w:p w:rsidR="00D3221B" w:rsidRDefault="00D3221B" w:rsidP="00FC05B9">
      <w:pPr>
        <w:ind w:firstLineChars="200" w:firstLine="31680"/>
        <w:rPr>
          <w:rFonts w:ascii="仿宋" w:eastAsia="仿宋" w:hAnsi="仿宋" w:cs="宋体"/>
          <w:color w:val="393939"/>
          <w:kern w:val="0"/>
          <w:szCs w:val="32"/>
        </w:rPr>
      </w:pPr>
      <w:r>
        <w:rPr>
          <w:rFonts w:ascii="仿宋_GB2312" w:hAnsi="仿宋"/>
          <w:b/>
          <w:bCs/>
          <w:szCs w:val="32"/>
        </w:rPr>
        <w:t>3.</w:t>
      </w:r>
      <w:r>
        <w:rPr>
          <w:rFonts w:ascii="仿宋_GB2312" w:hAnsi="仿宋" w:hint="eastAsia"/>
          <w:b/>
          <w:bCs/>
          <w:szCs w:val="32"/>
        </w:rPr>
        <w:t>公务用车购置及运行维护费支出</w:t>
      </w:r>
      <w:r>
        <w:rPr>
          <w:rFonts w:ascii="仿宋_GB2312" w:hAnsi="仿宋"/>
          <w:szCs w:val="32"/>
        </w:rPr>
        <w:t>7.99</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年度预算相比，减少</w:t>
      </w:r>
      <w:r>
        <w:rPr>
          <w:rFonts w:ascii="仿宋_GB2312" w:hAnsi="仿宋"/>
          <w:szCs w:val="32"/>
        </w:rPr>
        <w:t>10.01</w:t>
      </w:r>
      <w:r>
        <w:rPr>
          <w:rFonts w:ascii="仿宋_GB2312" w:hAnsi="仿宋" w:hint="eastAsia"/>
          <w:szCs w:val="32"/>
        </w:rPr>
        <w:t>万元，下降</w:t>
      </w:r>
      <w:r>
        <w:rPr>
          <w:rFonts w:ascii="仿宋_GB2312" w:hAnsi="仿宋"/>
          <w:szCs w:val="32"/>
        </w:rPr>
        <w:t>55.6%</w:t>
      </w:r>
      <w:r>
        <w:rPr>
          <w:rFonts w:ascii="仿宋_GB2312" w:hAnsi="仿宋" w:hint="eastAsia"/>
          <w:szCs w:val="32"/>
        </w:rPr>
        <w:t>，下降的原因是公务用车运行费用支出减少。其中，公务用车购置费</w:t>
      </w:r>
      <w:r>
        <w:rPr>
          <w:rFonts w:ascii="仿宋_GB2312" w:hAnsi="仿宋"/>
          <w:szCs w:val="32"/>
        </w:rPr>
        <w:t>0</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年度预算相同，</w:t>
      </w:r>
      <w:r w:rsidRPr="00B65064">
        <w:rPr>
          <w:rFonts w:ascii="仿宋_GB2312" w:hAnsi="仿宋"/>
          <w:color w:val="000000"/>
          <w:szCs w:val="32"/>
        </w:rPr>
        <w:t>2020</w:t>
      </w:r>
      <w:r w:rsidRPr="00B65064">
        <w:rPr>
          <w:rFonts w:ascii="仿宋_GB2312" w:hAnsi="仿宋" w:hint="eastAsia"/>
          <w:color w:val="000000"/>
          <w:szCs w:val="32"/>
        </w:rPr>
        <w:t>年没有安排公务用车购置费。</w:t>
      </w:r>
      <w:r>
        <w:rPr>
          <w:rFonts w:ascii="仿宋_GB2312" w:hAnsi="仿宋" w:hint="eastAsia"/>
          <w:szCs w:val="32"/>
        </w:rPr>
        <w:t>公务用车运行维护费</w:t>
      </w:r>
      <w:r>
        <w:rPr>
          <w:rFonts w:ascii="仿宋_GB2312" w:hAnsi="仿宋"/>
          <w:szCs w:val="32"/>
        </w:rPr>
        <w:t>7.99</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年度预算相比，减少</w:t>
      </w:r>
      <w:r>
        <w:rPr>
          <w:rFonts w:ascii="仿宋_GB2312" w:hAnsi="仿宋"/>
          <w:szCs w:val="32"/>
        </w:rPr>
        <w:t>10.01</w:t>
      </w:r>
      <w:r>
        <w:rPr>
          <w:rFonts w:ascii="仿宋_GB2312" w:hAnsi="仿宋" w:hint="eastAsia"/>
          <w:szCs w:val="32"/>
        </w:rPr>
        <w:t>万元，下降</w:t>
      </w:r>
      <w:r>
        <w:rPr>
          <w:rFonts w:ascii="仿宋_GB2312" w:hAnsi="仿宋"/>
          <w:szCs w:val="32"/>
        </w:rPr>
        <w:t>55.6%</w:t>
      </w:r>
      <w:r>
        <w:rPr>
          <w:rFonts w:ascii="仿宋_GB2312" w:hAnsi="仿宋" w:hint="eastAsia"/>
          <w:szCs w:val="32"/>
        </w:rPr>
        <w:t>，下降的原因是公务用车运行费用支出减少。公务用车运行维护费，包括车辆燃料费、维修费、过路过桥费、保险费等支出，主要用于</w:t>
      </w:r>
      <w:r w:rsidRPr="005B52B1">
        <w:rPr>
          <w:rFonts w:ascii="仿宋_GB2312" w:hAnsi="仿宋" w:hint="eastAsia"/>
          <w:szCs w:val="32"/>
        </w:rPr>
        <w:t>日常公务，记者采访，政策调研等。</w:t>
      </w:r>
    </w:p>
    <w:p w:rsidR="00D3221B" w:rsidRDefault="00D3221B" w:rsidP="00FC05B9">
      <w:pPr>
        <w:ind w:firstLineChars="200" w:firstLine="31680"/>
        <w:rPr>
          <w:rFonts w:ascii="仿宋_GB2312" w:hAnsi="仿宋"/>
          <w:szCs w:val="32"/>
        </w:rPr>
      </w:pPr>
      <w:r>
        <w:rPr>
          <w:rFonts w:ascii="仿宋_GB2312" w:hAnsi="仿宋" w:hint="eastAsia"/>
          <w:szCs w:val="32"/>
        </w:rPr>
        <w:t>截至</w:t>
      </w:r>
      <w:smartTag w:uri="urn:schemas-microsoft-com:office:smarttags" w:element="chsdate">
        <w:smartTagPr>
          <w:attr w:name="IsROCDate" w:val="False"/>
          <w:attr w:name="IsLunarDate" w:val="False"/>
          <w:attr w:name="Day" w:val="31"/>
          <w:attr w:name="Month" w:val="12"/>
          <w:attr w:name="Year" w:val="2020"/>
        </w:smartTagPr>
        <w:r>
          <w:rPr>
            <w:rFonts w:ascii="仿宋_GB2312" w:hAnsi="仿宋"/>
            <w:szCs w:val="32"/>
          </w:rPr>
          <w:t>2020</w:t>
        </w:r>
        <w:r>
          <w:rPr>
            <w:rFonts w:ascii="仿宋_GB2312" w:hAnsi="仿宋" w:hint="eastAsia"/>
            <w:szCs w:val="32"/>
          </w:rPr>
          <w:t>年</w:t>
        </w:r>
        <w:r>
          <w:rPr>
            <w:rFonts w:ascii="仿宋_GB2312" w:hAnsi="仿宋"/>
            <w:szCs w:val="32"/>
          </w:rPr>
          <w:t>12</w:t>
        </w:r>
        <w:r>
          <w:rPr>
            <w:rFonts w:ascii="仿宋_GB2312" w:hAnsi="仿宋" w:hint="eastAsia"/>
            <w:szCs w:val="32"/>
          </w:rPr>
          <w:t>月</w:t>
        </w:r>
        <w:r>
          <w:rPr>
            <w:rFonts w:ascii="仿宋_GB2312" w:hAnsi="仿宋"/>
            <w:szCs w:val="32"/>
          </w:rPr>
          <w:t>31</w:t>
        </w:r>
        <w:r>
          <w:rPr>
            <w:rFonts w:ascii="仿宋_GB2312" w:hAnsi="仿宋" w:hint="eastAsia"/>
            <w:szCs w:val="32"/>
          </w:rPr>
          <w:t>日</w:t>
        </w:r>
      </w:smartTag>
      <w:r>
        <w:rPr>
          <w:rFonts w:ascii="仿宋_GB2312" w:hAnsi="仿宋" w:hint="eastAsia"/>
          <w:szCs w:val="32"/>
        </w:rPr>
        <w:t>，黄山市广播电视台机关及所属单位开支财政拨款的公务用车保有量为</w:t>
      </w:r>
      <w:r>
        <w:rPr>
          <w:rFonts w:ascii="仿宋_GB2312" w:hAnsi="仿宋"/>
          <w:szCs w:val="32"/>
        </w:rPr>
        <w:t>12</w:t>
      </w:r>
      <w:r>
        <w:rPr>
          <w:rFonts w:ascii="仿宋_GB2312" w:hAnsi="仿宋" w:hint="eastAsia"/>
          <w:szCs w:val="32"/>
        </w:rPr>
        <w:t>辆。</w:t>
      </w:r>
    </w:p>
    <w:p w:rsidR="00D3221B" w:rsidRDefault="00D3221B">
      <w:pPr>
        <w:tabs>
          <w:tab w:val="left" w:pos="2198"/>
        </w:tabs>
      </w:pPr>
      <w:r>
        <w:tab/>
      </w:r>
    </w:p>
    <w:p w:rsidR="00D3221B" w:rsidRPr="003D14D3" w:rsidRDefault="00D3221B">
      <w:pPr>
        <w:rPr>
          <w:rFonts w:ascii="宋体" w:eastAsia="宋体"/>
          <w:sz w:val="28"/>
          <w:szCs w:val="28"/>
        </w:rPr>
      </w:pPr>
    </w:p>
    <w:sectPr w:rsidR="00D3221B" w:rsidRPr="003D14D3" w:rsidSect="00AE775C">
      <w:footerReference w:type="even" r:id="rId7"/>
      <w:footerReference w:type="default" r:id="rId8"/>
      <w:pgSz w:w="11906" w:h="16838"/>
      <w:pgMar w:top="2155" w:right="1531" w:bottom="1588" w:left="1588" w:header="0" w:footer="1588" w:gutter="0"/>
      <w:cols w:space="720"/>
      <w:docGrid w:type="linesAndChars" w:linePitch="569" w:charSpace="-126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221B" w:rsidRDefault="00D3221B" w:rsidP="00AE775C">
      <w:r>
        <w:separator/>
      </w:r>
    </w:p>
  </w:endnote>
  <w:endnote w:type="continuationSeparator" w:id="0">
    <w:p w:rsidR="00D3221B" w:rsidRDefault="00D3221B" w:rsidP="00AE77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21B" w:rsidRDefault="00D322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221B" w:rsidRDefault="00D3221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21B" w:rsidRDefault="00D3221B">
    <w:pPr>
      <w:pStyle w:val="Footer"/>
      <w:framePr w:wrap="around" w:vAnchor="text" w:hAnchor="margin" w:xAlign="right" w:y="1"/>
      <w:rPr>
        <w:rStyle w:val="PageNumber"/>
        <w:rFonts w:ascii="仿宋_GB2312"/>
        <w:sz w:val="28"/>
      </w:rPr>
    </w:pPr>
    <w:r>
      <w:rPr>
        <w:rStyle w:val="PageNumber"/>
        <w:rFonts w:ascii="仿宋_GB2312"/>
        <w:sz w:val="28"/>
      </w:rPr>
      <w:t>-</w:t>
    </w:r>
    <w:r>
      <w:rPr>
        <w:rStyle w:val="PageNumber"/>
        <w:rFonts w:ascii="仿宋_GB2312"/>
        <w:sz w:val="28"/>
        <w:szCs w:val="28"/>
      </w:rPr>
      <w:fldChar w:fldCharType="begin"/>
    </w:r>
    <w:r>
      <w:rPr>
        <w:rStyle w:val="PageNumber"/>
        <w:rFonts w:ascii="仿宋_GB2312"/>
        <w:sz w:val="28"/>
        <w:szCs w:val="28"/>
      </w:rPr>
      <w:instrText xml:space="preserve"> PAGE </w:instrText>
    </w:r>
    <w:r>
      <w:rPr>
        <w:rStyle w:val="PageNumber"/>
        <w:rFonts w:ascii="仿宋_GB2312"/>
        <w:sz w:val="28"/>
        <w:szCs w:val="28"/>
      </w:rPr>
      <w:fldChar w:fldCharType="separate"/>
    </w:r>
    <w:r>
      <w:rPr>
        <w:rStyle w:val="PageNumber"/>
        <w:rFonts w:ascii="仿宋_GB2312"/>
        <w:noProof/>
        <w:sz w:val="28"/>
        <w:szCs w:val="28"/>
      </w:rPr>
      <w:t>3</w:t>
    </w:r>
    <w:r>
      <w:rPr>
        <w:rStyle w:val="PageNumber"/>
        <w:rFonts w:ascii="仿宋_GB2312"/>
        <w:sz w:val="28"/>
        <w:szCs w:val="28"/>
      </w:rPr>
      <w:fldChar w:fldCharType="end"/>
    </w:r>
    <w:r>
      <w:rPr>
        <w:rStyle w:val="PageNumber"/>
        <w:rFonts w:ascii="仿宋_GB2312"/>
        <w:sz w:val="28"/>
        <w:szCs w:val="28"/>
      </w:rPr>
      <w:t>-</w:t>
    </w:r>
  </w:p>
  <w:p w:rsidR="00D3221B" w:rsidRDefault="00D3221B">
    <w:pPr>
      <w:pStyle w:val="Footer"/>
      <w:ind w:right="360"/>
      <w:jc w:val="right"/>
      <w:rPr>
        <w:rFonts w:ascii="仿宋_GB2312"/>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221B" w:rsidRDefault="00D3221B" w:rsidP="00AE775C">
      <w:r>
        <w:separator/>
      </w:r>
    </w:p>
  </w:footnote>
  <w:footnote w:type="continuationSeparator" w:id="0">
    <w:p w:rsidR="00D3221B" w:rsidRDefault="00D3221B" w:rsidP="00AE77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B20277"/>
    <w:multiLevelType w:val="singleLevel"/>
    <w:tmpl w:val="85B20277"/>
    <w:lvl w:ilvl="0">
      <w:start w:val="4"/>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38C6A77"/>
    <w:rsid w:val="000079E6"/>
    <w:rsid w:val="00023AE0"/>
    <w:rsid w:val="00040075"/>
    <w:rsid w:val="00045D29"/>
    <w:rsid w:val="00102C11"/>
    <w:rsid w:val="001072F6"/>
    <w:rsid w:val="00111671"/>
    <w:rsid w:val="00140CEF"/>
    <w:rsid w:val="00143D07"/>
    <w:rsid w:val="00146BCD"/>
    <w:rsid w:val="001554F1"/>
    <w:rsid w:val="00181235"/>
    <w:rsid w:val="00182A2F"/>
    <w:rsid w:val="001C6174"/>
    <w:rsid w:val="0029576B"/>
    <w:rsid w:val="002D403E"/>
    <w:rsid w:val="00317A8C"/>
    <w:rsid w:val="003320B4"/>
    <w:rsid w:val="00344A7A"/>
    <w:rsid w:val="0034556C"/>
    <w:rsid w:val="00370C1A"/>
    <w:rsid w:val="00371AC8"/>
    <w:rsid w:val="00384771"/>
    <w:rsid w:val="003B4B52"/>
    <w:rsid w:val="003D14D3"/>
    <w:rsid w:val="003E4011"/>
    <w:rsid w:val="004029A5"/>
    <w:rsid w:val="00404ED7"/>
    <w:rsid w:val="00416AA5"/>
    <w:rsid w:val="00447706"/>
    <w:rsid w:val="004C368C"/>
    <w:rsid w:val="004C6299"/>
    <w:rsid w:val="004E1E29"/>
    <w:rsid w:val="00565C7E"/>
    <w:rsid w:val="005747F2"/>
    <w:rsid w:val="0058670B"/>
    <w:rsid w:val="00587927"/>
    <w:rsid w:val="005B52B1"/>
    <w:rsid w:val="005C3662"/>
    <w:rsid w:val="005C5FB4"/>
    <w:rsid w:val="00675906"/>
    <w:rsid w:val="006823F4"/>
    <w:rsid w:val="00683A06"/>
    <w:rsid w:val="007405E1"/>
    <w:rsid w:val="00744598"/>
    <w:rsid w:val="007A4BA5"/>
    <w:rsid w:val="007C1411"/>
    <w:rsid w:val="007D673E"/>
    <w:rsid w:val="007E19E4"/>
    <w:rsid w:val="00823674"/>
    <w:rsid w:val="0084539C"/>
    <w:rsid w:val="0089549D"/>
    <w:rsid w:val="008A20D5"/>
    <w:rsid w:val="008D4140"/>
    <w:rsid w:val="008E5AAD"/>
    <w:rsid w:val="008F562C"/>
    <w:rsid w:val="008F7FA8"/>
    <w:rsid w:val="00907AFB"/>
    <w:rsid w:val="00913A54"/>
    <w:rsid w:val="00954064"/>
    <w:rsid w:val="009576FB"/>
    <w:rsid w:val="009578F6"/>
    <w:rsid w:val="00961C78"/>
    <w:rsid w:val="0097047F"/>
    <w:rsid w:val="009A5B27"/>
    <w:rsid w:val="009C1713"/>
    <w:rsid w:val="009D2D5C"/>
    <w:rsid w:val="009D32A6"/>
    <w:rsid w:val="00A03AA7"/>
    <w:rsid w:val="00A261CA"/>
    <w:rsid w:val="00A57EF6"/>
    <w:rsid w:val="00A61C03"/>
    <w:rsid w:val="00A96D66"/>
    <w:rsid w:val="00AB4E13"/>
    <w:rsid w:val="00AC265E"/>
    <w:rsid w:val="00AD7D71"/>
    <w:rsid w:val="00AE775C"/>
    <w:rsid w:val="00B00327"/>
    <w:rsid w:val="00B513A0"/>
    <w:rsid w:val="00B6174C"/>
    <w:rsid w:val="00B624CE"/>
    <w:rsid w:val="00B65064"/>
    <w:rsid w:val="00B9531F"/>
    <w:rsid w:val="00BD2FDF"/>
    <w:rsid w:val="00BE27D8"/>
    <w:rsid w:val="00C25578"/>
    <w:rsid w:val="00C4466E"/>
    <w:rsid w:val="00C56043"/>
    <w:rsid w:val="00C61297"/>
    <w:rsid w:val="00C86C35"/>
    <w:rsid w:val="00CB6894"/>
    <w:rsid w:val="00CC55AA"/>
    <w:rsid w:val="00CD14C3"/>
    <w:rsid w:val="00D3221B"/>
    <w:rsid w:val="00D3782B"/>
    <w:rsid w:val="00D4168A"/>
    <w:rsid w:val="00D506DD"/>
    <w:rsid w:val="00D621F6"/>
    <w:rsid w:val="00D64CA2"/>
    <w:rsid w:val="00D64DB6"/>
    <w:rsid w:val="00DB56D0"/>
    <w:rsid w:val="00E11D0E"/>
    <w:rsid w:val="00E3537D"/>
    <w:rsid w:val="00E43EBC"/>
    <w:rsid w:val="00E95B9C"/>
    <w:rsid w:val="00ED10DE"/>
    <w:rsid w:val="00EE2EC0"/>
    <w:rsid w:val="00EF2204"/>
    <w:rsid w:val="00F42F9F"/>
    <w:rsid w:val="00F43C8C"/>
    <w:rsid w:val="00F52ED3"/>
    <w:rsid w:val="00FA47A1"/>
    <w:rsid w:val="00FC0267"/>
    <w:rsid w:val="00FC05B9"/>
    <w:rsid w:val="00FC300B"/>
    <w:rsid w:val="00FE0B9C"/>
    <w:rsid w:val="07162289"/>
    <w:rsid w:val="077D4AD5"/>
    <w:rsid w:val="09C359EF"/>
    <w:rsid w:val="0AFE1569"/>
    <w:rsid w:val="338C6A77"/>
    <w:rsid w:val="38CD4612"/>
    <w:rsid w:val="3BBA10F8"/>
    <w:rsid w:val="501A0248"/>
    <w:rsid w:val="510E6D13"/>
    <w:rsid w:val="536B073D"/>
    <w:rsid w:val="5D3427E6"/>
    <w:rsid w:val="5FAE593B"/>
    <w:rsid w:val="6274622E"/>
    <w:rsid w:val="629C13E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AE775C"/>
    <w:pPr>
      <w:widowControl w:val="0"/>
      <w:jc w:val="both"/>
    </w:pPr>
    <w:rPr>
      <w:rFonts w:eastAsia="仿宋_GB2312"/>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AE775C"/>
    <w:pPr>
      <w:jc w:val="center"/>
    </w:pPr>
    <w:rPr>
      <w:rFonts w:eastAsia="黑体"/>
      <w:sz w:val="36"/>
    </w:rPr>
  </w:style>
  <w:style w:type="character" w:customStyle="1" w:styleId="BodyTextChar">
    <w:name w:val="Body Text Char"/>
    <w:basedOn w:val="DefaultParagraphFont"/>
    <w:link w:val="BodyText"/>
    <w:uiPriority w:val="99"/>
    <w:semiHidden/>
    <w:locked/>
    <w:rsid w:val="00416AA5"/>
    <w:rPr>
      <w:rFonts w:eastAsia="仿宋_GB2312" w:cs="Times New Roman"/>
      <w:sz w:val="20"/>
      <w:szCs w:val="20"/>
    </w:rPr>
  </w:style>
  <w:style w:type="paragraph" w:styleId="Footer">
    <w:name w:val="footer"/>
    <w:basedOn w:val="Normal"/>
    <w:link w:val="FooterChar"/>
    <w:uiPriority w:val="99"/>
    <w:rsid w:val="00AE775C"/>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416AA5"/>
    <w:rPr>
      <w:rFonts w:eastAsia="仿宋_GB2312" w:cs="Times New Roman"/>
      <w:sz w:val="18"/>
      <w:szCs w:val="18"/>
    </w:rPr>
  </w:style>
  <w:style w:type="paragraph" w:styleId="NormalWeb">
    <w:name w:val="Normal (Web)"/>
    <w:basedOn w:val="Normal"/>
    <w:uiPriority w:val="99"/>
    <w:rsid w:val="00AE775C"/>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basedOn w:val="DefaultParagraphFont"/>
    <w:uiPriority w:val="99"/>
    <w:rsid w:val="00AE775C"/>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109</TotalTime>
  <Pages>3</Pages>
  <Words>231</Words>
  <Characters>1322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爱逗黎vera</dc:creator>
  <cp:keywords/>
  <dc:description/>
  <cp:lastModifiedBy>微软用户</cp:lastModifiedBy>
  <cp:revision>228</cp:revision>
  <dcterms:created xsi:type="dcterms:W3CDTF">2021-08-26T02:34:00Z</dcterms:created>
  <dcterms:modified xsi:type="dcterms:W3CDTF">2021-09-28T01:27:00Z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